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786" w:rsidRPr="00A23786" w:rsidRDefault="00A23786" w:rsidP="00A2378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附件 1 </w:t>
      </w:r>
    </w:p>
    <w:p w:rsidR="00A23786" w:rsidRDefault="00A23786" w:rsidP="00A23786">
      <w:pPr>
        <w:widowControl/>
        <w:jc w:val="center"/>
        <w:rPr>
          <w:rFonts w:ascii="FZXiaoBiaoSong-B05S" w:eastAsia="宋体" w:hAnsi="FZXiaoBiaoSong-B05S" w:cs="宋体" w:hint="eastAsia"/>
          <w:color w:val="000000"/>
          <w:kern w:val="0"/>
          <w:sz w:val="44"/>
          <w:szCs w:val="44"/>
        </w:rPr>
      </w:pPr>
      <w:r w:rsidRPr="00A23786">
        <w:rPr>
          <w:rFonts w:ascii="FZXiaoBiaoSong-B05S" w:eastAsia="宋体" w:hAnsi="FZXiaoBiaoSong-B05S" w:cs="宋体"/>
          <w:color w:val="000000"/>
          <w:kern w:val="0"/>
          <w:sz w:val="44"/>
          <w:szCs w:val="44"/>
        </w:rPr>
        <w:t>湖南省教育科学</w:t>
      </w:r>
      <w:r>
        <w:rPr>
          <w:rFonts w:ascii="FZXiaoBiaoSong-B05S" w:eastAsia="宋体" w:hAnsi="FZXiaoBiaoSong-B05S" w:cs="宋体" w:hint="eastAsia"/>
          <w:color w:val="000000"/>
          <w:kern w:val="0"/>
          <w:sz w:val="44"/>
          <w:szCs w:val="44"/>
        </w:rPr>
        <w:t>“</w:t>
      </w:r>
      <w:r w:rsidRPr="00A23786">
        <w:rPr>
          <w:rFonts w:ascii="FZXiaoBiaoSong-B05S" w:eastAsia="宋体" w:hAnsi="FZXiaoBiaoSong-B05S" w:cs="宋体"/>
          <w:color w:val="000000"/>
          <w:kern w:val="0"/>
          <w:sz w:val="44"/>
          <w:szCs w:val="44"/>
        </w:rPr>
        <w:t>十四五</w:t>
      </w:r>
      <w:r>
        <w:rPr>
          <w:rFonts w:ascii="FZXiaoBiaoSong-B05S" w:eastAsia="宋体" w:hAnsi="FZXiaoBiaoSong-B05S" w:cs="宋体" w:hint="eastAsia"/>
          <w:color w:val="000000"/>
          <w:kern w:val="0"/>
          <w:sz w:val="44"/>
          <w:szCs w:val="44"/>
        </w:rPr>
        <w:t>”</w:t>
      </w:r>
      <w:r w:rsidRPr="00A23786">
        <w:rPr>
          <w:rFonts w:ascii="FZXiaoBiaoSong-B05S" w:eastAsia="宋体" w:hAnsi="FZXiaoBiaoSong-B05S" w:cs="宋体"/>
          <w:color w:val="000000"/>
          <w:kern w:val="0"/>
          <w:sz w:val="44"/>
          <w:szCs w:val="44"/>
        </w:rPr>
        <w:t>规划</w:t>
      </w:r>
    </w:p>
    <w:p w:rsidR="00A23786" w:rsidRPr="00A23786" w:rsidRDefault="00A23786" w:rsidP="00A23786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FZXiaoBiaoSong-B05S" w:eastAsia="宋体" w:hAnsi="FZXiaoBiaoSong-B05S" w:cs="宋体"/>
          <w:color w:val="000000"/>
          <w:kern w:val="0"/>
          <w:sz w:val="44"/>
          <w:szCs w:val="44"/>
        </w:rPr>
        <w:t xml:space="preserve">2024 </w:t>
      </w:r>
      <w:r w:rsidRPr="00A23786">
        <w:rPr>
          <w:rFonts w:ascii="FZXiaoBiaoSong-B05S" w:eastAsia="宋体" w:hAnsi="FZXiaoBiaoSong-B05S" w:cs="宋体"/>
          <w:color w:val="000000"/>
          <w:kern w:val="0"/>
          <w:sz w:val="44"/>
          <w:szCs w:val="44"/>
        </w:rPr>
        <w:t>年度课题指南</w:t>
      </w:r>
    </w:p>
    <w:p w:rsidR="00A23786" w:rsidRDefault="00A23786" w:rsidP="00A23786">
      <w:pPr>
        <w:widowControl/>
        <w:jc w:val="left"/>
        <w:rPr>
          <w:rFonts w:ascii="FangSong_GB2312" w:eastAsia="宋体" w:hAnsi="FangSong_GB2312" w:cs="宋体" w:hint="eastAsia"/>
          <w:color w:val="000000"/>
          <w:kern w:val="0"/>
          <w:sz w:val="32"/>
          <w:szCs w:val="32"/>
        </w:rPr>
      </w:pP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课题指南所提供的选题内容为课题研究领域和方向，申请人可据此作分解、细化，自拟题目进行申报。不在指南研究领域和方向的资助课题，原则上不予立项。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一、重点资助课题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1.1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切实把习近平新时代中国特色社会主义思想转化为指导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实践、推动工作的强大力量研究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1.2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学校廉洁文化建设研究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1.3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增强学校基层党组织政治功能和组织功能研究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1.4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高校教师党支部书记</w:t>
      </w:r>
      <w:r>
        <w:rPr>
          <w:rFonts w:ascii="Times New Roman" w:eastAsia="宋体" w:hAnsi="Times New Roman" w:cs="Times New Roman" w:hint="eastAsia"/>
          <w:color w:val="000000"/>
          <w:kern w:val="0"/>
          <w:sz w:val="32"/>
          <w:szCs w:val="32"/>
        </w:rPr>
        <w:t>“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双带头人</w:t>
      </w:r>
      <w:r>
        <w:rPr>
          <w:rFonts w:ascii="Times New Roman" w:eastAsia="宋体" w:hAnsi="Times New Roman" w:cs="Times New Roman" w:hint="eastAsia"/>
          <w:color w:val="000000"/>
          <w:kern w:val="0"/>
          <w:sz w:val="32"/>
          <w:szCs w:val="32"/>
        </w:rPr>
        <w:t>”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选配和培养机制研究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1.5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加强高校高层次人才和青年教师党员发展工作研究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1.6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加强和改进高校流动党员教育与管理的途径及实践研究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1.7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教育科技人才协同推进湖南教育强省的机制与路径研究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1.8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教育强省监测制度研究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1.9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新时代高等教育跨学科创新人才培养研究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lastRenderedPageBreak/>
        <w:t xml:space="preserve">1.10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核心素养取向的课程教学改革研究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1.11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教育赋能乡村振兴研究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1.12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职业教育、高等教育、继续教育协同创新人才培养研究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1.13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高素质创新型教师队伍建设研究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1.14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科学教育大中小一体化建设路径研究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1.15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数字技术赋能教育治理研究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1.16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新时代高校德育新理念新路径研究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1.17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学科专业结构调整与高校空间布局优化研究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1.18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专业学位研究生教育高质量发展研究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1.19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人工智能时代的个性化人才培养研究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1.20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高校成果转化创新机制研究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1.21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省域特色高质量现代职业教育研究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1.22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湖南职业教育与现代化产业匹配研究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1.23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湖南职业教育强省建设研究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1.24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职业院校产教融合的有效性研究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1.25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职业院校现场工程师培养研究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1.26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高水平新形态职业教育教材建设研究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1.27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基础教育拔尖创新型人才培养研究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1.28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中国式教育现代化背景下中小学校管理创新研究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1.29</w:t>
      </w:r>
      <w:r>
        <w:rPr>
          <w:rFonts w:ascii="Times New Roman" w:eastAsia="宋体" w:hAnsi="Times New Roman" w:cs="Times New Roman" w:hint="eastAsia"/>
          <w:color w:val="000000"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32"/>
          <w:szCs w:val="32"/>
        </w:rPr>
        <w:t>“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双减</w:t>
      </w:r>
      <w:r>
        <w:rPr>
          <w:rFonts w:ascii="Times New Roman" w:eastAsia="宋体" w:hAnsi="Times New Roman" w:cs="Times New Roman" w:hint="eastAsia"/>
          <w:color w:val="000000"/>
          <w:kern w:val="0"/>
          <w:sz w:val="32"/>
          <w:szCs w:val="32"/>
        </w:rPr>
        <w:t>”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背景下教育质量提升研究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1.30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县中振兴的实践与探索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lastRenderedPageBreak/>
        <w:t xml:space="preserve">1.31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中小学生健康教育的实践与探索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1.32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基础教育教学评一体化研究与实践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1.33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学前教育、特殊教育普惠发展研究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1.34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新时代中小学德育工作实践与探索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1.35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基础教育育人方式改革研究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1.36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幼小、小初、初高衔接研究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二、一般资助课题和青年资助课题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2.1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高校基层组织党建工作质量评价体系研究与试点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2.2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民办高校党建工作研究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2.3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新时代大学生党员培养和发展工作存在问题与对策研究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2.4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推动中小学校党组织领导的校长负责制实践研究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2.5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中小学校党建工作品牌化建设实践研究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2.6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党建引领基础教育高质量发展行动研究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2.7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湖南教师数字素养提升的政策及实现路径研究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2.8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高校有组织科研的内涵特征与实施路径研究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2.9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湖南教育智库建设与统筹管理研究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2.10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高校一流学科建设与发展研究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2.11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产学研用协同发展研究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2.12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新时代高校教学与科研互促机制研究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2.13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行业特色高校高质量发展研究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lastRenderedPageBreak/>
        <w:t xml:space="preserve">2.14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地方本科院校办学定位与特色发展的湖南实践研究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2.15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研究生教育学术学位与专业学位分类评价研究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2.16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湖南高校学科专业结构与产业结构协调发展研究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2.17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大学校长治校理念研究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2.18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新一轮审核评估背景下的高校办学质量保障研究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2.19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研究生导师准入制度研究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2.20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教育强省背景下博士后人才培养与使用研究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2.21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地方高校服务区域发展的体制机制研究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2.22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师范专业认证背景下的教师教育改革研究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2.23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现代产业学院与卓越工程师学院建设与发展研究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2.24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大学生传统美德教育研究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2.25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平安湖南背景下高校新作为新担当研究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2.26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大学生国家安全教育研究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2.27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师范生供求规模预测与应对策略研究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2.28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湖南民办高校规范发展的引导机制研究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2.29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职业院校立德树人、德技并修研究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2.30</w:t>
      </w:r>
      <w:r>
        <w:rPr>
          <w:rFonts w:ascii="Times New Roman" w:eastAsia="宋体" w:hAnsi="Times New Roman" w:cs="Times New Roman" w:hint="eastAsia"/>
          <w:color w:val="000000"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32"/>
          <w:szCs w:val="32"/>
        </w:rPr>
        <w:t>“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三融</w:t>
      </w:r>
      <w:r>
        <w:rPr>
          <w:rFonts w:ascii="Times New Roman" w:eastAsia="宋体" w:hAnsi="Times New Roman" w:cs="Times New Roman" w:hint="eastAsia"/>
          <w:color w:val="000000"/>
          <w:kern w:val="0"/>
          <w:sz w:val="32"/>
          <w:szCs w:val="32"/>
        </w:rPr>
        <w:t>”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背景下职业教育类型定位研究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2.31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产教融合实践中心职业培训模式研究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2.32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职业教育产教联合体、产教融合共同体研究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2.33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新时代普职教育融通研究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2.34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职业院校关键办学能力评价体系与提升路径研究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lastRenderedPageBreak/>
        <w:t xml:space="preserve">2.35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职业院校治理体系与治理能力现代化研究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2.36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职业院校校企合作典型实践项目建设研究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2.37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职业院校人才培养体系改革实证研究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2.38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职业教育专业（群）建设改革研究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2.39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职业教育一流核心课程建设研究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2.40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高质量职业教育评价研究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>2.41</w:t>
      </w:r>
      <w:r>
        <w:rPr>
          <w:rFonts w:ascii="Times New Roman" w:eastAsia="宋体" w:hAnsi="Times New Roman" w:cs="Times New Roman" w:hint="eastAsia"/>
          <w:color w:val="000000"/>
          <w:kern w:val="0"/>
          <w:sz w:val="32"/>
          <w:szCs w:val="32"/>
        </w:rPr>
        <w:t xml:space="preserve"> </w:t>
      </w:r>
      <w:r>
        <w:rPr>
          <w:rFonts w:ascii="Times New Roman" w:eastAsia="宋体" w:hAnsi="Times New Roman" w:cs="Times New Roman" w:hint="eastAsia"/>
          <w:color w:val="000000"/>
          <w:kern w:val="0"/>
          <w:sz w:val="32"/>
          <w:szCs w:val="32"/>
        </w:rPr>
        <w:t>“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职教高考</w:t>
      </w:r>
      <w:r>
        <w:rPr>
          <w:rFonts w:ascii="Times New Roman" w:eastAsia="宋体" w:hAnsi="Times New Roman" w:cs="Times New Roman" w:hint="eastAsia"/>
          <w:color w:val="000000"/>
          <w:kern w:val="0"/>
          <w:sz w:val="32"/>
          <w:szCs w:val="32"/>
        </w:rPr>
        <w:t>”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政策理论与实践研究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2.42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职业院校内部质量监控与保证体系研究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2.43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职业教育服务</w:t>
      </w:r>
      <w:r>
        <w:rPr>
          <w:rFonts w:ascii="Times New Roman" w:eastAsia="宋体" w:hAnsi="Times New Roman" w:cs="Times New Roman" w:hint="eastAsia"/>
          <w:color w:val="000000"/>
          <w:kern w:val="0"/>
          <w:sz w:val="32"/>
          <w:szCs w:val="32"/>
        </w:rPr>
        <w:t>“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一带一路</w:t>
      </w:r>
      <w:r>
        <w:rPr>
          <w:rFonts w:ascii="Times New Roman" w:eastAsia="宋体" w:hAnsi="Times New Roman" w:cs="Times New Roman" w:hint="eastAsia"/>
          <w:color w:val="000000"/>
          <w:kern w:val="0"/>
          <w:sz w:val="32"/>
          <w:szCs w:val="32"/>
        </w:rPr>
        <w:t>”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国际产能合作研究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2.44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高等职业教育科教融汇机制与路径研究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2.45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职业教育专业认证建设研究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2.46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类型教育视野下职业启蒙教育发展模式研究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2.47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新课程背景下国家课程校本化实施研究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2.48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新时代中小学生发展指导研究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2.49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中小学智慧教育现状与创新研究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2.50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基础教育拔尖创新型人才培养研究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2.51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区域普通高中优质发展典型案例研究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2.52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新时代普通高中学校多样化有特色发展研究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2.53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义务教育区域优质均衡发展研究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2.54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中小学教育评价改革研究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2.55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新时代民办基础教育发展研究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2.56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中小学跨学科教学实践与探索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lastRenderedPageBreak/>
        <w:t xml:space="preserve">2.57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中小学大单元教学策略研究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2.58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中小学科学教育实施研究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2.59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中小学校园安全工作问题与对策研究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2.60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新时代中小学教师队伍建设研究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2.61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中小学劳动教育及其劳动基地建设研究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2.62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信息技术促进中小学教育评价的路径研究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Times New Roman" w:eastAsia="宋体" w:hAnsi="Times New Roman" w:cs="Times New Roman"/>
          <w:color w:val="000000"/>
          <w:kern w:val="0"/>
          <w:sz w:val="32"/>
          <w:szCs w:val="32"/>
        </w:rPr>
        <w:t xml:space="preserve">2.63 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立足中华传统文化的中小学经典诵读研究</w:t>
      </w: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 xml:space="preserve"> </w:t>
      </w:r>
    </w:p>
    <w:p w:rsidR="00A23786" w:rsidRPr="00A23786" w:rsidRDefault="00A23786" w:rsidP="00A23786">
      <w:pPr>
        <w:widowControl/>
        <w:ind w:firstLineChars="200" w:firstLine="6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23786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三、一般（自筹经费）课题 </w:t>
      </w:r>
    </w:p>
    <w:p w:rsidR="00060D85" w:rsidRDefault="00A23786" w:rsidP="00A23786">
      <w:pPr>
        <w:widowControl/>
        <w:ind w:firstLineChars="200" w:firstLine="640"/>
        <w:jc w:val="left"/>
      </w:pPr>
      <w:r w:rsidRPr="00A23786">
        <w:rPr>
          <w:rFonts w:ascii="FangSong_GB2312" w:eastAsia="宋体" w:hAnsi="FangSong_GB2312" w:cs="宋体"/>
          <w:color w:val="000000"/>
          <w:kern w:val="0"/>
          <w:sz w:val="32"/>
          <w:szCs w:val="32"/>
        </w:rPr>
        <w:t>一般（自筹经费）课题研究不设具体指南，申报人可立足本单位实际，针对教育实践中的突出问题，根据自身的研究基础和优势，自主确定研究题目，以提高研究的针对性与实效性。</w:t>
      </w:r>
    </w:p>
    <w:sectPr w:rsidR="00060D85" w:rsidSect="00060D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XiaoBiaoSong-B05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23786"/>
    <w:rsid w:val="00060D85"/>
    <w:rsid w:val="00A23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D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3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2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3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0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6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3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8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2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3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4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8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9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4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7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4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1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2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5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373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2023-11-22T09:47:00Z</dcterms:created>
  <dcterms:modified xsi:type="dcterms:W3CDTF">2023-11-22T09:50:00Z</dcterms:modified>
</cp:coreProperties>
</file>